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The sun is finally out in full force, maybe too much force,  but I am still thinking about the fantastic evening we shared at our June picnic. It was a huge success with more than sixty people in attendance. What made it especially meaningful was that so many of our "newcomers" were actually guests invited by our existing learners, tutors, and instructors.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Seeing food from around the world brought to one table was special, but seeing our PCLC family expand through these personal invitations was even better. These gatherings remind me that the work you do isn't just about lessons—it's about creating the kind of community that people are proud to share with their friends and neighbors. Thank you to everyone who came, brought a dish, and helped make our PCLC family feel a little bit larger that evening.</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rtl w:val="0"/>
        </w:rPr>
        <w:t xml:space="preserve">I also hope you all had a good Fourth of July. It was great to hear that so many of our tutors and learners were out at the local displays and neighborhood parties. Seeing our people right in the middle of those community traditions is exactly what we’re working toward—just being a part of what’s happening here in the county. </w:t>
      </w: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Help us highlight your contribution</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ind w:left="720" w:hanging="360"/>
        <w:rPr>
          <w:rFonts w:ascii="Calibri" w:cs="Calibri" w:eastAsia="Calibri" w:hAnsi="Calibri"/>
          <w:b w:val="1"/>
          <w:bCs w:val="1"/>
          <w:color w:val="24337a"/>
          <w:sz w:val="22"/>
          <w:szCs w:val="22"/>
        </w:rPr>
      </w:pPr>
      <w:bookmarkStart w:colFirst="0" w:colLast="0" w:name="_c0tkasklnuwh" w:id="0"/>
      <w:bookmarkEnd w:id="0"/>
      <w:r w:rsidDel="00000000" w:rsidR="00000000" w:rsidRPr="00000000">
        <w:rPr>
          <w:rFonts w:ascii="Calibri" w:cs="Calibri" w:eastAsia="Calibri" w:hAnsi="Calibri"/>
          <w:b w:val="1"/>
          <w:bCs w:val="1"/>
          <w:color w:val="24337a"/>
          <w:sz w:val="22"/>
          <w:szCs w:val="22"/>
          <w:rtl w:val="0"/>
        </w:rPr>
        <w:t xml:space="preserve">Around Portage County: Language Lessons and Leisure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Finding Treasures at Local Garage Sales</w:t>
        <w:br w:type="textWrapping"/>
      </w:r>
      <w:r w:rsidDel="00000000" w:rsidR="00000000" w:rsidRPr="00000000">
        <w:rPr>
          <w:rFonts w:ascii="Calibri" w:cs="Calibri" w:eastAsia="Calibri" w:hAnsi="Calibri"/>
          <w:color w:val="24337a"/>
          <w:rtl w:val="0"/>
        </w:rPr>
        <w:t xml:space="preserve"> July is the peak of garage sale season in our neighborhoods. This is a unique, low-stakes way for a learner to practice English in a very practical setting.</w:t>
      </w:r>
    </w:p>
    <w:p w:rsidR="00000000" w:rsidDel="00000000" w:rsidP="00000000" w:rsidRDefault="00000000" w:rsidRPr="00000000" w14:paraId="00000008">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Mission:</w:t>
      </w:r>
      <w:r w:rsidDel="00000000" w:rsidR="00000000" w:rsidRPr="00000000">
        <w:rPr>
          <w:rFonts w:ascii="Calibri" w:cs="Calibri" w:eastAsia="Calibri" w:hAnsi="Calibri"/>
          <w:color w:val="24337a"/>
          <w:rtl w:val="0"/>
        </w:rPr>
        <w:t xml:space="preserve"> Practice the language of inquiry and "haggling." Questions like "How much is this?" or "Does this work?" are perfect for beginners. For more advanced learners, it is a great way to learn the names of household items that you don't always find in a textbook—like a </w:t>
      </w:r>
      <w:r w:rsidDel="00000000" w:rsidR="00000000" w:rsidRPr="00000000">
        <w:rPr>
          <w:rFonts w:ascii="Calibri" w:cs="Calibri" w:eastAsia="Calibri" w:hAnsi="Calibri"/>
          <w:i w:val="1"/>
          <w:iCs w:val="1"/>
          <w:color w:val="24337a"/>
          <w:rtl w:val="0"/>
        </w:rPr>
        <w:t xml:space="preserve">whisk</w:t>
      </w:r>
      <w:r w:rsidDel="00000000" w:rsidR="00000000" w:rsidRPr="00000000">
        <w:rPr>
          <w:rFonts w:ascii="Calibri" w:cs="Calibri" w:eastAsia="Calibri" w:hAnsi="Calibri"/>
          <w:color w:val="24337a"/>
          <w:rtl w:val="0"/>
        </w:rPr>
        <w:t xml:space="preserve">, </w:t>
      </w:r>
      <w:r w:rsidDel="00000000" w:rsidR="00000000" w:rsidRPr="00000000">
        <w:rPr>
          <w:rFonts w:ascii="Calibri" w:cs="Calibri" w:eastAsia="Calibri" w:hAnsi="Calibri"/>
          <w:i w:val="1"/>
          <w:iCs w:val="1"/>
          <w:color w:val="24337a"/>
          <w:rtl w:val="0"/>
        </w:rPr>
        <w:t xml:space="preserve">weed-eater</w:t>
      </w:r>
      <w:r w:rsidDel="00000000" w:rsidR="00000000" w:rsidRPr="00000000">
        <w:rPr>
          <w:rFonts w:ascii="Calibri" w:cs="Calibri" w:eastAsia="Calibri" w:hAnsi="Calibri"/>
          <w:color w:val="24337a"/>
          <w:rtl w:val="0"/>
        </w:rPr>
        <w:t xml:space="preserve">, or </w:t>
      </w:r>
      <w:r w:rsidDel="00000000" w:rsidR="00000000" w:rsidRPr="00000000">
        <w:rPr>
          <w:rFonts w:ascii="Calibri" w:cs="Calibri" w:eastAsia="Calibri" w:hAnsi="Calibri"/>
          <w:i w:val="1"/>
          <w:iCs w:val="1"/>
          <w:color w:val="24337a"/>
          <w:rtl w:val="0"/>
        </w:rPr>
        <w:t xml:space="preserve">crockpot</w:t>
      </w:r>
      <w:r w:rsidDel="00000000" w:rsidR="00000000" w:rsidRPr="00000000">
        <w:rPr>
          <w:rFonts w:ascii="Calibri" w:cs="Calibri" w:eastAsia="Calibri" w:hAnsi="Calibri"/>
          <w:color w:val="24337a"/>
          <w:rtl w:val="0"/>
        </w:rPr>
        <w:t xml:space="preserve">.</w:t>
        <w:br w:type="textWrapping"/>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Stevens Point City Pools &amp; Splash Pads</w:t>
        <w:br w:type="textWrapping"/>
      </w:r>
      <w:r w:rsidDel="00000000" w:rsidR="00000000" w:rsidRPr="00000000">
        <w:rPr>
          <w:rFonts w:ascii="Calibri" w:cs="Calibri" w:eastAsia="Calibri" w:hAnsi="Calibri"/>
          <w:color w:val="24337a"/>
          <w:rtl w:val="0"/>
        </w:rPr>
        <w:t xml:space="preserve"> If your learner has children, a trip to the pool or splash pad is a very practical classroom for "Safety English."</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Mission:</w:t>
      </w:r>
      <w:r w:rsidDel="00000000" w:rsidR="00000000" w:rsidRPr="00000000">
        <w:rPr>
          <w:rFonts w:ascii="Calibri" w:cs="Calibri" w:eastAsia="Calibri" w:hAnsi="Calibri"/>
          <w:color w:val="24337a"/>
          <w:rtl w:val="0"/>
        </w:rPr>
        <w:t xml:space="preserve"> Focus on essential vocabulary like </w:t>
      </w:r>
      <w:r w:rsidDel="00000000" w:rsidR="00000000" w:rsidRPr="00000000">
        <w:rPr>
          <w:rFonts w:ascii="Calibri" w:cs="Calibri" w:eastAsia="Calibri" w:hAnsi="Calibri"/>
          <w:b w:val="1"/>
          <w:bCs w:val="1"/>
          <w:color w:val="24337a"/>
          <w:rtl w:val="0"/>
        </w:rPr>
        <w:t xml:space="preserve">shallow, deep, slippery, lifeguard</w:t>
      </w:r>
      <w:r w:rsidDel="00000000" w:rsidR="00000000" w:rsidRPr="00000000">
        <w:rPr>
          <w:rFonts w:ascii="Calibri" w:cs="Calibri" w:eastAsia="Calibri" w:hAnsi="Calibri"/>
          <w:color w:val="24337a"/>
          <w:rtl w:val="0"/>
        </w:rPr>
        <w:t xml:space="preserve">, and </w:t>
      </w:r>
      <w:r w:rsidDel="00000000" w:rsidR="00000000" w:rsidRPr="00000000">
        <w:rPr>
          <w:rFonts w:ascii="Calibri" w:cs="Calibri" w:eastAsia="Calibri" w:hAnsi="Calibri"/>
          <w:b w:val="1"/>
          <w:bCs w:val="1"/>
          <w:color w:val="24337a"/>
          <w:rtl w:val="0"/>
        </w:rPr>
        <w:t xml:space="preserve">sunscreen</w:t>
      </w:r>
      <w:r w:rsidDel="00000000" w:rsidR="00000000" w:rsidRPr="00000000">
        <w:rPr>
          <w:rFonts w:ascii="Calibri" w:cs="Calibri" w:eastAsia="Calibri" w:hAnsi="Calibri"/>
          <w:color w:val="24337a"/>
          <w:rtl w:val="0"/>
        </w:rPr>
        <w:t xml:space="preserve">. For a parent, being able to read and understand pool safety signs is a vital life skill.</w:t>
        <w:br w:type="textWrapping"/>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hanging="360"/>
        <w:rPr>
          <w:rFonts w:ascii="Calibri" w:cs="Calibri" w:eastAsia="Calibri" w:hAnsi="Calibri"/>
          <w:color w:val="24337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color w:val="24337a"/>
        </w:rPr>
      </w:pPr>
      <w:r w:rsidDel="00000000" w:rsidR="00000000" w:rsidRPr="00000000">
        <w:rPr>
          <w:rtl w:val="0"/>
        </w:rPr>
      </w:r>
    </w:p>
    <w:p w:rsidR="00000000" w:rsidDel="00000000" w:rsidP="00000000" w:rsidRDefault="00000000" w:rsidRPr="00000000" w14:paraId="0000000D">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24337a"/>
          <w:sz w:val="22"/>
          <w:szCs w:val="22"/>
        </w:rPr>
      </w:pPr>
      <w:bookmarkStart w:colFirst="0" w:colLast="0" w:name="_g1ih1xuzoh9p" w:id="1"/>
      <w:bookmarkEnd w:id="1"/>
      <w:r w:rsidDel="00000000" w:rsidR="00000000" w:rsidRPr="00000000">
        <w:rPr>
          <w:rFonts w:ascii="Calibri" w:cs="Calibri" w:eastAsia="Calibri" w:hAnsi="Calibri"/>
          <w:b w:val="1"/>
          <w:bCs w:val="1"/>
          <w:color w:val="24337a"/>
          <w:sz w:val="22"/>
          <w:szCs w:val="22"/>
          <w:rtl w:val="0"/>
        </w:rPr>
        <w:t xml:space="preserve">Featured Resource: From Page to Project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Sometimes the best language lessons happen when the textbook stays closed. Integrating hands-on activities is a fantastic way to build English skills without the pressure of a formal classroom setting. When we focus on a physical task, it often lowers the anxiety of learning and makes conversation feel more natural.</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Because every person is different, you can tailor your "hands-on" lesson to your learner’s interests:</w:t>
      </w:r>
    </w:p>
    <w:p w:rsidR="00000000" w:rsidDel="00000000" w:rsidP="00000000" w:rsidRDefault="00000000" w:rsidRPr="00000000" w14:paraId="00000010">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Arts and Crafts:</w:t>
      </w:r>
      <w:r w:rsidDel="00000000" w:rsidR="00000000" w:rsidRPr="00000000">
        <w:rPr>
          <w:rFonts w:ascii="Calibri" w:cs="Calibri" w:eastAsia="Calibri" w:hAnsi="Calibri"/>
          <w:color w:val="24337a"/>
          <w:rtl w:val="0"/>
        </w:rPr>
        <w:t xml:space="preserve"> For some, using adult coloring pages or a simple craft like origami is a great way to practice descriptive language. You can talk about shades of color, patterns, and spatial relationships like "left," "right," or "center."</w:t>
        <w:br w:type="textWrapping"/>
      </w:r>
    </w:p>
    <w:p w:rsidR="00000000" w:rsidDel="00000000" w:rsidP="00000000" w:rsidRDefault="00000000" w:rsidRPr="00000000" w14:paraId="00000011">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Household Repair and Maintenance:</w:t>
      </w:r>
      <w:r w:rsidDel="00000000" w:rsidR="00000000" w:rsidRPr="00000000">
        <w:rPr>
          <w:rFonts w:ascii="Calibri" w:cs="Calibri" w:eastAsia="Calibri" w:hAnsi="Calibri"/>
          <w:color w:val="24337a"/>
          <w:rtl w:val="0"/>
        </w:rPr>
        <w:t xml:space="preserve"> For learners who prefer practical work, try bringing in a small "fix-it" task. You can go over the instructions for a home repair or look at a diagram of a household appliance. It is a natural way to practice "action" verbs like </w:t>
      </w:r>
      <w:r w:rsidDel="00000000" w:rsidR="00000000" w:rsidRPr="00000000">
        <w:rPr>
          <w:rFonts w:ascii="Calibri" w:cs="Calibri" w:eastAsia="Calibri" w:hAnsi="Calibri"/>
          <w:i w:val="1"/>
          <w:iCs w:val="1"/>
          <w:color w:val="24337a"/>
          <w:rtl w:val="0"/>
        </w:rPr>
        <w:t xml:space="preserve">screw, tighten, loosen, measure,</w:t>
      </w:r>
      <w:r w:rsidDel="00000000" w:rsidR="00000000" w:rsidRPr="00000000">
        <w:rPr>
          <w:rFonts w:ascii="Calibri" w:cs="Calibri" w:eastAsia="Calibri" w:hAnsi="Calibri"/>
          <w:color w:val="24337a"/>
          <w:rtl w:val="0"/>
        </w:rPr>
        <w:t xml:space="preserve"> and </w:t>
      </w:r>
      <w:r w:rsidDel="00000000" w:rsidR="00000000" w:rsidRPr="00000000">
        <w:rPr>
          <w:rFonts w:ascii="Calibri" w:cs="Calibri" w:eastAsia="Calibri" w:hAnsi="Calibri"/>
          <w:i w:val="1"/>
          <w:iCs w:val="1"/>
          <w:color w:val="24337a"/>
          <w:rtl w:val="0"/>
        </w:rPr>
        <w:t xml:space="preserve">disconnect</w:t>
      </w:r>
      <w:r w:rsidDel="00000000" w:rsidR="00000000" w:rsidRPr="00000000">
        <w:rPr>
          <w:rFonts w:ascii="Calibri" w:cs="Calibri" w:eastAsia="Calibri" w:hAnsi="Calibri"/>
          <w:color w:val="24337a"/>
          <w:rtl w:val="0"/>
        </w:rPr>
        <w:t xml:space="preserve">.</w:t>
        <w:br w:type="textWrapping"/>
      </w:r>
    </w:p>
    <w:p w:rsidR="00000000" w:rsidDel="00000000" w:rsidP="00000000" w:rsidRDefault="00000000" w:rsidRPr="00000000" w14:paraId="00000012">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"How-To" Demonstration:</w:t>
      </w:r>
      <w:r w:rsidDel="00000000" w:rsidR="00000000" w:rsidRPr="00000000">
        <w:rPr>
          <w:rFonts w:ascii="Calibri" w:cs="Calibri" w:eastAsia="Calibri" w:hAnsi="Calibri"/>
          <w:color w:val="24337a"/>
          <w:rtl w:val="0"/>
        </w:rPr>
        <w:t xml:space="preserve"> Ask your learner to teach you a skill they already have, like changing a tire or basic woodworking. Having them explain the steps as they go through the motions is a natural way to turn their existing expertise into new English vocabulary.</w:t>
        <w:br w:type="textWrapping"/>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When we move the lesson from the page to the project, we give learners a chance to experience the language. It turns a study session into a shared experience where the focus is on getting the job done.</w:t>
      </w:r>
    </w:p>
    <w:p w:rsidR="00000000" w:rsidDel="00000000" w:rsidP="00000000" w:rsidRDefault="00000000" w:rsidRPr="00000000" w14:paraId="0000001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24337a"/>
          <w:sz w:val="22"/>
          <w:szCs w:val="22"/>
        </w:rPr>
      </w:pPr>
      <w:bookmarkStart w:colFirst="0" w:colLast="0" w:name="_qo7fv0bhm2uz" w:id="2"/>
      <w:bookmarkEnd w:id="2"/>
      <w:r w:rsidDel="00000000" w:rsidR="00000000" w:rsidRPr="00000000">
        <w:rPr>
          <w:rFonts w:ascii="Calibri" w:cs="Calibri" w:eastAsia="Calibri" w:hAnsi="Calibri"/>
          <w:b w:val="1"/>
          <w:bCs w:val="1"/>
          <w:color w:val="24337a"/>
          <w:sz w:val="22"/>
          <w:szCs w:val="22"/>
          <w:rtl w:val="0"/>
        </w:rPr>
        <w:t xml:space="preserve">Tutor Tip:</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 </w:t>
      </w:r>
      <w:r w:rsidDel="00000000" w:rsidR="00000000" w:rsidRPr="00000000">
        <w:rPr>
          <w:rFonts w:ascii="Calibri" w:cs="Calibri" w:eastAsia="Calibri" w:hAnsi="Calibri"/>
          <w:b w:val="1"/>
          <w:bCs w:val="1"/>
          <w:color w:val="24337a"/>
          <w:rtl w:val="0"/>
        </w:rPr>
        <w:t xml:space="preserve">Action Leads to Language</w:t>
        <w:br w:type="textWrapping"/>
      </w:r>
      <w:r w:rsidDel="00000000" w:rsidR="00000000" w:rsidRPr="00000000">
        <w:rPr>
          <w:rFonts w:ascii="Calibri" w:cs="Calibri" w:eastAsia="Calibri" w:hAnsi="Calibri"/>
          <w:color w:val="24337a"/>
          <w:rtl w:val="0"/>
        </w:rPr>
        <w:t xml:space="preserve"> Try a mini-version of "Total Physical Response" in your next session. In fact, you’re probably already doing it.  This just means connecting a physical movement with a specific word.</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If you are doing a repair or a craft, have the learner say the verb as they do the action. For example, as they are using a screwdriver, they say, </w:t>
      </w:r>
      <w:r w:rsidDel="00000000" w:rsidR="00000000" w:rsidRPr="00000000">
        <w:rPr>
          <w:rFonts w:ascii="Calibri" w:cs="Calibri" w:eastAsia="Calibri" w:hAnsi="Calibri"/>
          <w:b w:val="1"/>
          <w:bCs w:val="1"/>
          <w:color w:val="24337a"/>
          <w:rtl w:val="0"/>
        </w:rPr>
        <w:t xml:space="preserve">"I am tightening the screw."</w:t>
      </w:r>
      <w:r w:rsidDel="00000000" w:rsidR="00000000" w:rsidRPr="00000000">
        <w:rPr>
          <w:rFonts w:ascii="Calibri" w:cs="Calibri" w:eastAsia="Calibri" w:hAnsi="Calibri"/>
          <w:color w:val="24337a"/>
          <w:rtl w:val="0"/>
        </w:rPr>
        <w:t xml:space="preserve"> Linking the physical sensation with the sound of the word helps it "stick" in the brain much faster than just reading it on the page.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…and a quick reminder, don’t forget to remind them to keep those notes!</w:t>
      </w: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i w:val="1"/>
          <w:iCs w:val="1"/>
          <w:color w:val="24337a"/>
        </w:rPr>
      </w:pPr>
      <w:r w:rsidDel="00000000" w:rsidR="00000000" w:rsidRPr="00000000">
        <w:rPr>
          <w:rFonts w:ascii="Calibri" w:cs="Calibri" w:eastAsia="Calibri" w:hAnsi="Calibri"/>
          <w:b w:val="1"/>
          <w:bCs w:val="1"/>
          <w:i w:val="1"/>
          <w:iCs w:val="1"/>
          <w:color w:val="24337a"/>
          <w:rtl w:val="0"/>
        </w:rPr>
        <w:t xml:space="preserve">Thank you </w:t>
      </w:r>
      <w:r w:rsidDel="00000000" w:rsidR="00000000" w:rsidRPr="00000000">
        <w:rPr>
          <w:rFonts w:ascii="Calibri" w:cs="Calibri" w:eastAsia="Calibri" w:hAnsi="Calibri"/>
          <w:i w:val="1"/>
          <w:iCs w:val="1"/>
          <w:color w:val="24337a"/>
          <w:rtl w:val="0"/>
        </w:rPr>
        <w:t xml:space="preserve">for the time, patience, and creativity you bring to your tutoring sessions. Whether you're helping a learner prepare for a driver's license, practice conversation at the Farmers Market, or share a favorite photograph, you are making a difference. </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center"/>
      <w:rPr/>
    </w:pPr>
    <w:r w:rsidDel="00000000" w:rsidR="00000000" w:rsidRPr="00000000">
      <w:rPr>
        <w:rFonts w:ascii="Calibri" w:cs="Calibri" w:eastAsia="Calibri" w:hAnsi="Calibri"/>
      </w:rPr>
      <w:drawing>
        <wp:inline distB="114300" distT="114300" distL="114300" distR="114300">
          <wp:extent cx="4096512" cy="1024128"/>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096512" cy="102412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